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8C" w:rsidRPr="00286D37" w:rsidRDefault="0018036A" w:rsidP="0018036A">
      <w:pPr>
        <w:spacing w:after="0" w:line="240" w:lineRule="auto"/>
        <w:jc w:val="center"/>
        <w:rPr>
          <w:rFonts w:ascii="Britannic Bold" w:hAnsi="Britannic Bold" w:cs="Arial"/>
          <w:color w:val="FF0000"/>
          <w:sz w:val="40"/>
          <w:szCs w:val="40"/>
        </w:rPr>
      </w:pPr>
      <w:r w:rsidRPr="00286D37">
        <w:rPr>
          <w:rFonts w:ascii="Britannic Bold" w:hAnsi="Britannic Bold" w:cs="Arial"/>
          <w:color w:val="FF0000"/>
          <w:sz w:val="40"/>
          <w:szCs w:val="40"/>
        </w:rPr>
        <w:t>MEMORIA 2016-2017</w:t>
      </w:r>
    </w:p>
    <w:p w:rsidR="00286D37" w:rsidRPr="0018036A" w:rsidRDefault="00286D37" w:rsidP="0018036A">
      <w:pPr>
        <w:spacing w:after="0" w:line="240" w:lineRule="auto"/>
        <w:jc w:val="center"/>
        <w:rPr>
          <w:rFonts w:ascii="Britannic Bold" w:hAnsi="Britannic Bold" w:cs="Arial"/>
          <w:color w:val="FF0000"/>
          <w:sz w:val="28"/>
          <w:szCs w:val="28"/>
        </w:rPr>
      </w:pPr>
    </w:p>
    <w:p w:rsidR="00764B8C" w:rsidRPr="00286D37" w:rsidRDefault="00764B8C" w:rsidP="00764B8C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32"/>
          <w:szCs w:val="32"/>
        </w:rPr>
      </w:pPr>
      <w:r w:rsidRPr="00286D37">
        <w:rPr>
          <w:rFonts w:ascii="Britannic Bold" w:hAnsi="Britannic Bold" w:cs="Arial"/>
          <w:color w:val="385623" w:themeColor="accent6" w:themeShade="80"/>
          <w:sz w:val="32"/>
          <w:szCs w:val="32"/>
        </w:rPr>
        <w:t>CONSEJO NACIONAL DE E</w:t>
      </w:r>
      <w:r w:rsidR="00534B00">
        <w:rPr>
          <w:rFonts w:ascii="Britannic Bold" w:hAnsi="Britannic Bold" w:cs="Arial"/>
          <w:color w:val="385623" w:themeColor="accent6" w:themeShade="80"/>
          <w:sz w:val="32"/>
          <w:szCs w:val="32"/>
        </w:rPr>
        <w:t>VALUACIÓ</w:t>
      </w:r>
      <w:r w:rsidRPr="00286D37">
        <w:rPr>
          <w:rFonts w:ascii="Britannic Bold" w:hAnsi="Britannic Bold" w:cs="Arial"/>
          <w:color w:val="385623" w:themeColor="accent6" w:themeShade="80"/>
          <w:sz w:val="32"/>
          <w:szCs w:val="32"/>
        </w:rPr>
        <w:t>N Y ACREDI</w:t>
      </w:r>
      <w:r w:rsidR="00534B00">
        <w:rPr>
          <w:rFonts w:ascii="Britannic Bold" w:hAnsi="Britannic Bold" w:cs="Arial"/>
          <w:color w:val="385623" w:themeColor="accent6" w:themeShade="80"/>
          <w:sz w:val="32"/>
          <w:szCs w:val="32"/>
        </w:rPr>
        <w:t>TACIÓ</w:t>
      </w:r>
      <w:r w:rsidR="00743627">
        <w:rPr>
          <w:rFonts w:ascii="Britannic Bold" w:hAnsi="Britannic Bold" w:cs="Arial"/>
          <w:color w:val="385623" w:themeColor="accent6" w:themeShade="80"/>
          <w:sz w:val="32"/>
          <w:szCs w:val="32"/>
        </w:rPr>
        <w:t>N UNIVERSITARIA DE PANAMÁ</w:t>
      </w:r>
      <w:r w:rsidRPr="00286D37"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 – CONEAUPA</w:t>
      </w:r>
    </w:p>
    <w:p w:rsidR="0018036A" w:rsidRPr="00764B8C" w:rsidRDefault="0018036A" w:rsidP="00764B8C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28"/>
          <w:szCs w:val="28"/>
        </w:rPr>
      </w:pPr>
    </w:p>
    <w:p w:rsidR="00FB2A3D" w:rsidRDefault="00FB2A3D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El periodo 2016-2017, se caracterizó por el desarrollo de</w:t>
      </w:r>
      <w:r w:rsidR="00CF7100">
        <w:rPr>
          <w:rFonts w:cs="Arial"/>
          <w:color w:val="000000" w:themeColor="text1"/>
          <w:sz w:val="24"/>
          <w:szCs w:val="24"/>
        </w:rPr>
        <w:t xml:space="preserve">l anteproyecto de </w:t>
      </w:r>
      <w:r>
        <w:rPr>
          <w:rFonts w:cs="Arial"/>
          <w:color w:val="000000" w:themeColor="text1"/>
          <w:sz w:val="24"/>
          <w:szCs w:val="24"/>
        </w:rPr>
        <w:t>reglamentación</w:t>
      </w:r>
      <w:r w:rsidRPr="000C1923">
        <w:rPr>
          <w:rFonts w:cs="Arial"/>
          <w:color w:val="000000" w:themeColor="text1"/>
          <w:sz w:val="24"/>
          <w:szCs w:val="24"/>
        </w:rPr>
        <w:t xml:space="preserve"> del marco legal del Sistema Nacional de Evaluación y la Acreditación para el Mejoramiento de la Calidad de la Educación Superior Universitaria</w:t>
      </w:r>
      <w:r w:rsidR="00CF7100">
        <w:rPr>
          <w:rFonts w:cs="Arial"/>
          <w:color w:val="000000" w:themeColor="text1"/>
          <w:sz w:val="24"/>
          <w:szCs w:val="24"/>
        </w:rPr>
        <w:t xml:space="preserve"> de Panamá</w:t>
      </w:r>
      <w:r w:rsidR="008C6B45">
        <w:rPr>
          <w:rFonts w:cs="Arial"/>
          <w:color w:val="000000" w:themeColor="text1"/>
          <w:sz w:val="24"/>
          <w:szCs w:val="24"/>
        </w:rPr>
        <w:t>. Para ello</w:t>
      </w:r>
      <w:r w:rsidRPr="000C1923">
        <w:rPr>
          <w:rFonts w:cs="Arial"/>
          <w:color w:val="000000" w:themeColor="text1"/>
          <w:sz w:val="24"/>
          <w:szCs w:val="24"/>
        </w:rPr>
        <w:t xml:space="preserve">, </w:t>
      </w:r>
      <w:r>
        <w:rPr>
          <w:rFonts w:cs="Arial"/>
          <w:color w:val="000000" w:themeColor="text1"/>
          <w:sz w:val="24"/>
          <w:szCs w:val="24"/>
        </w:rPr>
        <w:t>se crea una comisión académica de alto nivel, designada por la Pr</w:t>
      </w:r>
      <w:r w:rsidR="008C6B45">
        <w:rPr>
          <w:rFonts w:cs="Arial"/>
          <w:color w:val="000000" w:themeColor="text1"/>
          <w:sz w:val="24"/>
          <w:szCs w:val="24"/>
        </w:rPr>
        <w:t>esidente del CONEAUPA, S.E.</w:t>
      </w:r>
      <w:r>
        <w:rPr>
          <w:rFonts w:cs="Arial"/>
          <w:color w:val="000000" w:themeColor="text1"/>
          <w:sz w:val="24"/>
          <w:szCs w:val="24"/>
        </w:rPr>
        <w:t xml:space="preserve"> Marcela Paredes de</w:t>
      </w:r>
      <w:r w:rsidR="00CF7100">
        <w:rPr>
          <w:rFonts w:cs="Arial"/>
          <w:color w:val="000000" w:themeColor="text1"/>
          <w:sz w:val="24"/>
          <w:szCs w:val="24"/>
        </w:rPr>
        <w:t xml:space="preserve"> Vásquez, Ministra de Educación</w:t>
      </w:r>
      <w:r>
        <w:rPr>
          <w:rFonts w:cs="Arial"/>
          <w:color w:val="000000" w:themeColor="text1"/>
          <w:sz w:val="24"/>
          <w:szCs w:val="24"/>
        </w:rPr>
        <w:t xml:space="preserve">, para </w:t>
      </w:r>
      <w:r w:rsidR="008C6B45">
        <w:rPr>
          <w:rFonts w:cs="Arial"/>
          <w:color w:val="000000" w:themeColor="text1"/>
          <w:sz w:val="24"/>
          <w:szCs w:val="24"/>
        </w:rPr>
        <w:t>la elaboración d</w:t>
      </w:r>
      <w:r w:rsidR="00CF7100">
        <w:rPr>
          <w:rFonts w:cs="Arial"/>
          <w:color w:val="000000" w:themeColor="text1"/>
          <w:sz w:val="24"/>
          <w:szCs w:val="24"/>
        </w:rPr>
        <w:t xml:space="preserve">el primer borrador de la reglamentación de la </w:t>
      </w:r>
      <w:r w:rsidRPr="000C1923">
        <w:rPr>
          <w:rFonts w:cs="Arial"/>
          <w:color w:val="000000" w:themeColor="text1"/>
          <w:sz w:val="24"/>
          <w:szCs w:val="24"/>
        </w:rPr>
        <w:t>Ley 52 d</w:t>
      </w:r>
      <w:r w:rsidR="00743627">
        <w:rPr>
          <w:rFonts w:cs="Arial"/>
          <w:color w:val="000000" w:themeColor="text1"/>
          <w:sz w:val="24"/>
          <w:szCs w:val="24"/>
        </w:rPr>
        <w:t>e 26 de junio de 2015, publicada</w:t>
      </w:r>
      <w:r w:rsidRPr="000C1923">
        <w:rPr>
          <w:rFonts w:cs="Arial"/>
          <w:color w:val="000000" w:themeColor="text1"/>
          <w:sz w:val="24"/>
          <w:szCs w:val="24"/>
        </w:rPr>
        <w:t xml:space="preserve"> en la Gaceta</w:t>
      </w:r>
      <w:r w:rsidR="00CC1A31">
        <w:rPr>
          <w:rFonts w:cs="Arial"/>
          <w:color w:val="000000" w:themeColor="text1"/>
          <w:sz w:val="24"/>
          <w:szCs w:val="24"/>
        </w:rPr>
        <w:t xml:space="preserve"> Oficial No. 27-813-B</w:t>
      </w:r>
      <w:r w:rsidR="00743627">
        <w:rPr>
          <w:rFonts w:cs="Arial"/>
          <w:color w:val="000000" w:themeColor="text1"/>
          <w:sz w:val="24"/>
          <w:szCs w:val="24"/>
        </w:rPr>
        <w:t>. Esta Ley</w:t>
      </w:r>
      <w:r w:rsidR="00CC1A31">
        <w:rPr>
          <w:rFonts w:cs="Arial"/>
          <w:color w:val="000000" w:themeColor="text1"/>
          <w:sz w:val="24"/>
          <w:szCs w:val="24"/>
        </w:rPr>
        <w:t xml:space="preserve"> derogó</w:t>
      </w:r>
      <w:r w:rsidRPr="000C1923">
        <w:rPr>
          <w:rFonts w:cs="Arial"/>
          <w:color w:val="000000" w:themeColor="text1"/>
          <w:sz w:val="24"/>
          <w:szCs w:val="24"/>
        </w:rPr>
        <w:t xml:space="preserve"> l</w:t>
      </w:r>
      <w:r>
        <w:rPr>
          <w:rFonts w:cs="Arial"/>
          <w:color w:val="000000" w:themeColor="text1"/>
          <w:sz w:val="24"/>
          <w:szCs w:val="24"/>
        </w:rPr>
        <w:t>a Ley 30 d</w:t>
      </w:r>
      <w:r w:rsidR="00CF7100">
        <w:rPr>
          <w:rFonts w:cs="Arial"/>
          <w:color w:val="000000" w:themeColor="text1"/>
          <w:sz w:val="24"/>
          <w:szCs w:val="24"/>
        </w:rPr>
        <w:t xml:space="preserve">e 20 de julio de 2006. </w:t>
      </w: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86D37" w:rsidRDefault="00EE0D6C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EE0D6C">
        <w:rPr>
          <w:rFonts w:cs="Arial"/>
          <w:noProof/>
          <w:color w:val="000000" w:themeColor="text1"/>
          <w:sz w:val="24"/>
          <w:szCs w:val="24"/>
          <w:lang w:eastAsia="es-PA"/>
        </w:rPr>
        <w:drawing>
          <wp:inline distT="0" distB="0" distL="0" distR="0">
            <wp:extent cx="4771390" cy="3333750"/>
            <wp:effectExtent l="0" t="0" r="0" b="0"/>
            <wp:docPr id="44" name="Imagen 44" descr="F:\reglamentación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glamentación\IMG_6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23" cy="33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Pr="00EE0D6C" w:rsidRDefault="00DC517C" w:rsidP="00FB2A3D">
      <w:pPr>
        <w:spacing w:after="0" w:line="240" w:lineRule="auto"/>
        <w:jc w:val="both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Comisión</w:t>
      </w:r>
      <w:r w:rsidR="008C6B45">
        <w:rPr>
          <w:rFonts w:cs="Arial"/>
          <w:i/>
          <w:color w:val="000000" w:themeColor="text1"/>
        </w:rPr>
        <w:t xml:space="preserve"> </w:t>
      </w:r>
      <w:r>
        <w:rPr>
          <w:rFonts w:cs="Arial"/>
          <w:i/>
          <w:color w:val="000000" w:themeColor="text1"/>
        </w:rPr>
        <w:t>para la elaboración de la Reglamentación de la Ley 52 de 26 de junio de 2015, designada por</w:t>
      </w:r>
      <w:r w:rsidR="008C6B45">
        <w:rPr>
          <w:rFonts w:cs="Arial"/>
          <w:i/>
          <w:color w:val="000000" w:themeColor="text1"/>
        </w:rPr>
        <w:t xml:space="preserve"> la presidente</w:t>
      </w:r>
      <w:r w:rsidR="00EE0D6C" w:rsidRPr="00EE0D6C">
        <w:rPr>
          <w:rFonts w:cs="Arial"/>
          <w:i/>
          <w:color w:val="000000" w:themeColor="text1"/>
        </w:rPr>
        <w:t xml:space="preserve"> del Consejo </w:t>
      </w:r>
      <w:r w:rsidR="00743627">
        <w:rPr>
          <w:rFonts w:cs="Arial"/>
          <w:i/>
          <w:color w:val="000000" w:themeColor="text1"/>
        </w:rPr>
        <w:t xml:space="preserve">Nacional </w:t>
      </w:r>
      <w:r w:rsidR="00EE0D6C" w:rsidRPr="00EE0D6C">
        <w:rPr>
          <w:rFonts w:cs="Arial"/>
          <w:i/>
          <w:color w:val="000000" w:themeColor="text1"/>
        </w:rPr>
        <w:t>de Evaluación y Acreditación Universitaria de Panamá, en sesión extraordinaria N° 10, de 20 de octubre de 2015.</w:t>
      </w:r>
    </w:p>
    <w:p w:rsidR="00286D37" w:rsidRPr="00EE0D6C" w:rsidRDefault="00286D37" w:rsidP="00FB2A3D">
      <w:pPr>
        <w:spacing w:after="0" w:line="240" w:lineRule="auto"/>
        <w:jc w:val="both"/>
        <w:rPr>
          <w:rFonts w:cs="Arial"/>
          <w:i/>
          <w:color w:val="000000" w:themeColor="text1"/>
        </w:rPr>
      </w:pPr>
    </w:p>
    <w:p w:rsidR="00286D37" w:rsidRDefault="00286D37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9A6FBA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86D37" w:rsidRPr="009A6FBA" w:rsidRDefault="009A6FBA" w:rsidP="009A6FBA">
      <w:pPr>
        <w:suppressAutoHyphens/>
        <w:autoSpaceDE w:val="0"/>
        <w:autoSpaceDN w:val="0"/>
        <w:jc w:val="both"/>
        <w:textAlignment w:val="baseline"/>
        <w:rPr>
          <w:sz w:val="24"/>
          <w:szCs w:val="24"/>
        </w:rPr>
      </w:pPr>
      <w:r w:rsidRPr="009A6FBA">
        <w:rPr>
          <w:rFonts w:cs="Arial"/>
          <w:color w:val="000000" w:themeColor="text1"/>
          <w:sz w:val="24"/>
          <w:szCs w:val="24"/>
        </w:rPr>
        <w:t xml:space="preserve">El Coneaupa, </w:t>
      </w:r>
      <w:r w:rsidR="008C6B45">
        <w:rPr>
          <w:rFonts w:cs="Arial"/>
          <w:color w:val="000000" w:themeColor="text1"/>
          <w:sz w:val="24"/>
          <w:szCs w:val="24"/>
        </w:rPr>
        <w:t>en virtud de su función de</w:t>
      </w:r>
      <w:r w:rsidRPr="009A6FBA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9A6FBA">
        <w:rPr>
          <w:sz w:val="24"/>
          <w:szCs w:val="24"/>
        </w:rPr>
        <w:t>elar por el cumplimiento y desarrollo de procesos de autoevaluación, evaluación externa y acreditación institu</w:t>
      </w:r>
      <w:r>
        <w:rPr>
          <w:sz w:val="24"/>
          <w:szCs w:val="24"/>
        </w:rPr>
        <w:t>cional, de programa</w:t>
      </w:r>
      <w:r w:rsidR="00743627">
        <w:rPr>
          <w:sz w:val="24"/>
          <w:szCs w:val="24"/>
        </w:rPr>
        <w:t>s y carreras, permitió</w:t>
      </w:r>
      <w:r>
        <w:rPr>
          <w:sz w:val="24"/>
          <w:szCs w:val="24"/>
        </w:rPr>
        <w:t xml:space="preserve"> el</w:t>
      </w:r>
      <w:r w:rsidR="00EE0D6C">
        <w:rPr>
          <w:sz w:val="24"/>
          <w:szCs w:val="24"/>
        </w:rPr>
        <w:t xml:space="preserve"> desarrollo de diversos proyectos. </w:t>
      </w:r>
    </w:p>
    <w:p w:rsidR="009A6FBA" w:rsidRPr="000C1923" w:rsidRDefault="009A6FBA" w:rsidP="00FB2A3D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764B8C" w:rsidRPr="000C1923" w:rsidRDefault="00764B8C" w:rsidP="00764B8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  <w:sz w:val="24"/>
          <w:szCs w:val="24"/>
        </w:rPr>
      </w:pPr>
    </w:p>
    <w:p w:rsidR="00764B8C" w:rsidRPr="0018036A" w:rsidRDefault="00764B8C" w:rsidP="00764B8C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32"/>
          <w:szCs w:val="32"/>
        </w:rPr>
      </w:pPr>
      <w:r w:rsidRPr="0018036A">
        <w:rPr>
          <w:rFonts w:ascii="Britannic Bold" w:hAnsi="Britannic Bold" w:cs="Arial"/>
          <w:color w:val="385623" w:themeColor="accent6" w:themeShade="80"/>
          <w:sz w:val="32"/>
          <w:szCs w:val="32"/>
        </w:rPr>
        <w:t>RESUMEN DE PROYECTOS DESARROLLADOS</w:t>
      </w:r>
    </w:p>
    <w:p w:rsidR="00764B8C" w:rsidRPr="0018036A" w:rsidRDefault="00764B8C" w:rsidP="00764B8C">
      <w:pPr>
        <w:spacing w:after="0" w:line="240" w:lineRule="auto"/>
        <w:rPr>
          <w:rFonts w:cs="Arial"/>
          <w:color w:val="000000" w:themeColor="text1"/>
          <w:sz w:val="32"/>
          <w:szCs w:val="32"/>
        </w:rPr>
      </w:pPr>
    </w:p>
    <w:tbl>
      <w:tblPr>
        <w:tblStyle w:val="Listaclara-nfasis2"/>
        <w:tblW w:w="9408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90"/>
        <w:gridCol w:w="52"/>
        <w:gridCol w:w="590"/>
        <w:gridCol w:w="3436"/>
        <w:gridCol w:w="590"/>
        <w:gridCol w:w="3560"/>
        <w:gridCol w:w="590"/>
      </w:tblGrid>
      <w:tr w:rsidR="00764B8C" w:rsidRPr="000C1923" w:rsidTr="00534B0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0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  <w:shd w:val="clear" w:color="auto" w:fill="385623" w:themeFill="accent6" w:themeFillShade="80"/>
          </w:tcPr>
          <w:p w:rsidR="00764B8C" w:rsidRPr="000C1923" w:rsidRDefault="00764B8C" w:rsidP="00CA773B">
            <w:pPr>
              <w:jc w:val="center"/>
              <w:rPr>
                <w:rFonts w:cs="Arial"/>
                <w:sz w:val="24"/>
                <w:szCs w:val="24"/>
              </w:rPr>
            </w:pPr>
            <w:r w:rsidRPr="000C1923">
              <w:rPr>
                <w:rFonts w:cs="Arial"/>
                <w:sz w:val="24"/>
                <w:szCs w:val="24"/>
              </w:rPr>
              <w:t>N°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764B8C" w:rsidRPr="000C1923" w:rsidRDefault="00764B8C" w:rsidP="00CA7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1923">
              <w:rPr>
                <w:rFonts w:cs="Arial"/>
                <w:sz w:val="24"/>
                <w:szCs w:val="24"/>
              </w:rPr>
              <w:t>PROYECTOS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  <w:shd w:val="clear" w:color="auto" w:fill="385623" w:themeFill="accent6" w:themeFillShade="80"/>
          </w:tcPr>
          <w:p w:rsidR="00764B8C" w:rsidRPr="000C1923" w:rsidRDefault="00764B8C" w:rsidP="00CA7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1923">
              <w:rPr>
                <w:rFonts w:cs="Arial"/>
                <w:sz w:val="24"/>
                <w:szCs w:val="24"/>
              </w:rPr>
              <w:t>ACTIVIDADES</w:t>
            </w:r>
          </w:p>
        </w:tc>
      </w:tr>
      <w:tr w:rsidR="00764B8C" w:rsidRPr="000C1923" w:rsidTr="00534B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64B8C" w:rsidRPr="000C1923" w:rsidRDefault="00764B8C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0C1923"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26" w:type="dxa"/>
            <w:gridSpan w:val="2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764B8C" w:rsidRPr="00534B00" w:rsidRDefault="00764B8C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 xml:space="preserve">Acompañamiento técnico a universidades </w:t>
            </w:r>
            <w:proofErr w:type="gramStart"/>
            <w:r w:rsidRPr="00534B00">
              <w:rPr>
                <w:rFonts w:cs="Arial"/>
                <w:color w:val="000000" w:themeColor="text1"/>
              </w:rPr>
              <w:t>acreditadas  para</w:t>
            </w:r>
            <w:proofErr w:type="gramEnd"/>
            <w:r w:rsidRPr="00534B00">
              <w:rPr>
                <w:rFonts w:cs="Arial"/>
                <w:color w:val="000000" w:themeColor="text1"/>
              </w:rPr>
              <w:t xml:space="preserve"> el seguimiento al </w:t>
            </w:r>
            <w:r w:rsidR="008C6B45" w:rsidRPr="00534B00">
              <w:rPr>
                <w:rFonts w:cs="Arial"/>
                <w:color w:val="000000" w:themeColor="text1"/>
              </w:rPr>
              <w:t xml:space="preserve">desarrollo del </w:t>
            </w:r>
            <w:r w:rsidRPr="00534B00">
              <w:rPr>
                <w:rFonts w:cs="Arial"/>
                <w:color w:val="000000" w:themeColor="text1"/>
              </w:rPr>
              <w:t>Plan de Mejoramiento Ajustado (PMIA)</w:t>
            </w:r>
            <w:r w:rsidR="00743627">
              <w:rPr>
                <w:rFonts w:cs="Arial"/>
                <w:color w:val="000000" w:themeColor="text1"/>
              </w:rPr>
              <w:t>.</w:t>
            </w:r>
            <w:r w:rsidRPr="00534B00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4150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764B8C" w:rsidRPr="00534B00" w:rsidRDefault="00764B8C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>Se realizaron</w:t>
            </w:r>
            <w:r w:rsidRPr="00534B00">
              <w:rPr>
                <w:rFonts w:cs="Arial"/>
              </w:rPr>
              <w:t xml:space="preserve"> </w:t>
            </w:r>
            <w:r w:rsidR="0045549A" w:rsidRPr="00534B00">
              <w:rPr>
                <w:rFonts w:cs="Arial"/>
              </w:rPr>
              <w:t>cinco (5) visitas de acompañamiento</w:t>
            </w:r>
            <w:r w:rsidR="00743627">
              <w:rPr>
                <w:rFonts w:cs="Arial"/>
              </w:rPr>
              <w:t>.</w:t>
            </w:r>
            <w:r w:rsidR="0045549A" w:rsidRPr="00534B00">
              <w:rPr>
                <w:rFonts w:cs="Arial"/>
              </w:rPr>
              <w:t xml:space="preserve"> </w:t>
            </w:r>
          </w:p>
        </w:tc>
      </w:tr>
      <w:tr w:rsidR="00764B8C" w:rsidRPr="000C1923" w:rsidTr="00534B00">
        <w:trPr>
          <w:gridBefore w:val="1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</w:tcPr>
          <w:p w:rsidR="00764B8C" w:rsidRPr="000C1923" w:rsidRDefault="00764B8C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0C1923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</w:tcPr>
          <w:p w:rsidR="00764B8C" w:rsidRPr="00534B00" w:rsidRDefault="00764B8C" w:rsidP="00CA773B">
            <w:pPr>
              <w:tabs>
                <w:tab w:val="left" w:pos="8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>Acompañamiento técnico a universidades con miras a la acreditación de la carrera de Ciencias de la Salud.</w:t>
            </w:r>
          </w:p>
          <w:p w:rsidR="00764B8C" w:rsidRPr="00534B00" w:rsidRDefault="00764B8C" w:rsidP="00CA7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:rsidR="00764B8C" w:rsidRPr="00534B00" w:rsidRDefault="0045549A" w:rsidP="00CA7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</w:rPr>
              <w:t>Se realizaron ocho (8</w:t>
            </w:r>
            <w:r w:rsidR="00764B8C" w:rsidRPr="00534B00">
              <w:rPr>
                <w:rFonts w:cs="Arial"/>
              </w:rPr>
              <w:t>) visitas de acompañamiento a unive</w:t>
            </w:r>
            <w:r w:rsidR="008C6B45" w:rsidRPr="00534B00">
              <w:rPr>
                <w:rFonts w:cs="Arial"/>
              </w:rPr>
              <w:t xml:space="preserve">rsidades en proceso de </w:t>
            </w:r>
            <w:r w:rsidR="00292919" w:rsidRPr="00534B00">
              <w:rPr>
                <w:rFonts w:cs="Arial"/>
              </w:rPr>
              <w:t>acreditación carreras</w:t>
            </w:r>
            <w:r w:rsidR="00764B8C" w:rsidRPr="00534B00">
              <w:rPr>
                <w:rFonts w:cs="Arial"/>
              </w:rPr>
              <w:t xml:space="preserve"> de salud.</w:t>
            </w:r>
          </w:p>
        </w:tc>
      </w:tr>
      <w:tr w:rsidR="00764B8C" w:rsidRPr="000C1923" w:rsidTr="00534B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64B8C" w:rsidRPr="000C1923" w:rsidRDefault="00764B8C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 w:rsidRPr="000C1923">
              <w:rPr>
                <w:rFonts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6" w:type="dxa"/>
            <w:gridSpan w:val="2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764B8C" w:rsidRPr="00534B00" w:rsidRDefault="00764B8C" w:rsidP="00CA773B">
            <w:pPr>
              <w:tabs>
                <w:tab w:val="left" w:pos="8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t>Visita Bienal in situ a las uni</w:t>
            </w:r>
            <w:r w:rsidR="008C6B45" w:rsidRPr="00534B00">
              <w:t>versidades para el diagnóstico de</w:t>
            </w:r>
            <w:r w:rsidRPr="00534B00">
              <w:t xml:space="preserve"> cumplimiento al Plan de Mejoramiento Institucional Ajustado (PMIA).</w:t>
            </w:r>
          </w:p>
          <w:p w:rsidR="00764B8C" w:rsidRPr="00534B00" w:rsidRDefault="00764B8C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4150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764B8C" w:rsidRPr="00534B00" w:rsidRDefault="00CC1A31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</w:rPr>
              <w:t>Se visitaron doce (12</w:t>
            </w:r>
            <w:r w:rsidR="00764B8C" w:rsidRPr="00534B00">
              <w:rPr>
                <w:rFonts w:cs="Arial"/>
              </w:rPr>
              <w:t>) universidad</w:t>
            </w:r>
            <w:r w:rsidRPr="00534B00">
              <w:rPr>
                <w:rFonts w:cs="Arial"/>
              </w:rPr>
              <w:t>es para darle seguimiento al</w:t>
            </w:r>
            <w:r w:rsidR="008C6B45" w:rsidRPr="00534B00">
              <w:rPr>
                <w:rFonts w:cs="Arial"/>
              </w:rPr>
              <w:t xml:space="preserve"> desarrollo </w:t>
            </w:r>
            <w:r w:rsidR="00292919" w:rsidRPr="00534B00">
              <w:rPr>
                <w:rFonts w:cs="Arial"/>
              </w:rPr>
              <w:t>del Plan</w:t>
            </w:r>
            <w:r w:rsidRPr="00534B00">
              <w:rPr>
                <w:rFonts w:cs="Arial"/>
              </w:rPr>
              <w:t xml:space="preserve"> de Mejo</w:t>
            </w:r>
            <w:r w:rsidR="00743627">
              <w:rPr>
                <w:rFonts w:cs="Arial"/>
              </w:rPr>
              <w:t>ramiento Institucional Ajustado</w:t>
            </w:r>
            <w:r w:rsidRPr="00534B00">
              <w:rPr>
                <w:rFonts w:cs="Arial"/>
              </w:rPr>
              <w:t xml:space="preserve"> (PMIA)</w:t>
            </w:r>
            <w:r w:rsidR="00743627">
              <w:rPr>
                <w:rFonts w:cs="Arial"/>
              </w:rPr>
              <w:t>.</w:t>
            </w:r>
          </w:p>
        </w:tc>
      </w:tr>
      <w:tr w:rsidR="00764B8C" w:rsidRPr="000C1923" w:rsidTr="00534B00">
        <w:trPr>
          <w:gridBefore w:val="1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</w:tcPr>
          <w:p w:rsidR="00764B8C" w:rsidRPr="000C1923" w:rsidRDefault="0045549A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</w:tcPr>
          <w:p w:rsidR="00764B8C" w:rsidRPr="00534B00" w:rsidRDefault="00764B8C" w:rsidP="00CA7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>Evaluación externa con fines de acreditación de la</w:t>
            </w:r>
            <w:r w:rsidR="008C6B45" w:rsidRPr="00534B00">
              <w:rPr>
                <w:rFonts w:cs="Arial"/>
                <w:color w:val="000000" w:themeColor="text1"/>
              </w:rPr>
              <w:t>s</w:t>
            </w:r>
            <w:r w:rsidR="00743627">
              <w:rPr>
                <w:rFonts w:cs="Arial"/>
                <w:color w:val="000000" w:themeColor="text1"/>
              </w:rPr>
              <w:t xml:space="preserve"> c</w:t>
            </w:r>
            <w:r w:rsidRPr="00534B00">
              <w:rPr>
                <w:rFonts w:cs="Arial"/>
                <w:color w:val="000000" w:themeColor="text1"/>
              </w:rPr>
              <w:t>arrera</w:t>
            </w:r>
            <w:r w:rsidR="008C6B45" w:rsidRPr="00534B00">
              <w:rPr>
                <w:rFonts w:cs="Arial"/>
                <w:color w:val="000000" w:themeColor="text1"/>
              </w:rPr>
              <w:t>s</w:t>
            </w:r>
            <w:r w:rsidRPr="00534B00">
              <w:rPr>
                <w:rFonts w:cs="Arial"/>
                <w:color w:val="000000" w:themeColor="text1"/>
              </w:rPr>
              <w:t xml:space="preserve"> de Psicología, Odontología y Fisioterapia</w:t>
            </w:r>
            <w:r w:rsidR="00743627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:rsidR="00764B8C" w:rsidRPr="00534B00" w:rsidRDefault="00764B8C" w:rsidP="00CA7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</w:rPr>
              <w:t xml:space="preserve">Se realizaron </w:t>
            </w:r>
            <w:r w:rsidR="0045549A" w:rsidRPr="00534B00">
              <w:rPr>
                <w:rFonts w:cs="Arial"/>
              </w:rPr>
              <w:t>diez (</w:t>
            </w:r>
            <w:r w:rsidRPr="00534B00">
              <w:rPr>
                <w:rFonts w:cs="Arial"/>
              </w:rPr>
              <w:t>10</w:t>
            </w:r>
            <w:r w:rsidR="0045549A" w:rsidRPr="00534B00">
              <w:rPr>
                <w:rFonts w:cs="Arial"/>
              </w:rPr>
              <w:t>)</w:t>
            </w:r>
            <w:r w:rsidRPr="00534B00">
              <w:rPr>
                <w:rFonts w:cs="Arial"/>
              </w:rPr>
              <w:t xml:space="preserve"> </w:t>
            </w:r>
            <w:r w:rsidR="0045549A" w:rsidRPr="00534B00">
              <w:rPr>
                <w:rFonts w:cs="Arial"/>
              </w:rPr>
              <w:t xml:space="preserve">procesos de </w:t>
            </w:r>
            <w:r w:rsidR="002A4225" w:rsidRPr="00534B00">
              <w:rPr>
                <w:rFonts w:cs="Arial"/>
              </w:rPr>
              <w:t xml:space="preserve">evaluación </w:t>
            </w:r>
            <w:r w:rsidR="008C6B45" w:rsidRPr="00534B00">
              <w:rPr>
                <w:rFonts w:cs="Arial"/>
              </w:rPr>
              <w:t>externa</w:t>
            </w:r>
            <w:r w:rsidRPr="00534B00">
              <w:rPr>
                <w:rFonts w:cs="Arial"/>
              </w:rPr>
              <w:t xml:space="preserve"> a </w:t>
            </w:r>
            <w:r w:rsidR="007A5A3F" w:rsidRPr="00534B00">
              <w:rPr>
                <w:rFonts w:cs="Arial"/>
              </w:rPr>
              <w:t xml:space="preserve">ocho (8) </w:t>
            </w:r>
            <w:r w:rsidRPr="00534B00">
              <w:rPr>
                <w:rFonts w:cs="Arial"/>
              </w:rPr>
              <w:t xml:space="preserve">universidades con fines de acreditación de carreras de ciencias de la salud. </w:t>
            </w:r>
          </w:p>
        </w:tc>
      </w:tr>
      <w:tr w:rsidR="00764B8C" w:rsidRPr="000C1923" w:rsidTr="00534B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64B8C" w:rsidRPr="000C1923" w:rsidRDefault="00534B00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6" w:type="dxa"/>
            <w:gridSpan w:val="2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:rsidR="00764B8C" w:rsidRPr="00534B00" w:rsidRDefault="00764B8C" w:rsidP="00CA773B">
            <w:pPr>
              <w:tabs>
                <w:tab w:val="left" w:pos="81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>Participación de</w:t>
            </w:r>
            <w:r w:rsidR="00743627">
              <w:rPr>
                <w:rFonts w:cs="Arial"/>
                <w:color w:val="000000" w:themeColor="text1"/>
              </w:rPr>
              <w:t>l</w:t>
            </w:r>
            <w:r w:rsidRPr="00534B00">
              <w:rPr>
                <w:rFonts w:cs="Arial"/>
                <w:color w:val="000000" w:themeColor="text1"/>
              </w:rPr>
              <w:t xml:space="preserve"> CONEAUPA en eventos académicos nacionales.</w:t>
            </w:r>
          </w:p>
        </w:tc>
        <w:tc>
          <w:tcPr>
            <w:tcW w:w="4150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764B8C" w:rsidRPr="00534B00" w:rsidRDefault="00764B8C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</w:rPr>
              <w:t>Se participó en cuatro (4) eventos nacionales.</w:t>
            </w:r>
          </w:p>
        </w:tc>
      </w:tr>
      <w:tr w:rsidR="00764B8C" w:rsidRPr="000C1923" w:rsidTr="00534B00">
        <w:trPr>
          <w:gridBefore w:val="1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</w:tcPr>
          <w:p w:rsidR="00764B8C" w:rsidRPr="000C1923" w:rsidRDefault="00534B00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</w:tcPr>
          <w:p w:rsidR="00764B8C" w:rsidRPr="00534B00" w:rsidRDefault="00764B8C" w:rsidP="00CA773B">
            <w:pPr>
              <w:tabs>
                <w:tab w:val="left" w:pos="81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>Participación de</w:t>
            </w:r>
            <w:r w:rsidR="008C6B45" w:rsidRPr="00534B00">
              <w:rPr>
                <w:rFonts w:cs="Arial"/>
                <w:color w:val="000000" w:themeColor="text1"/>
              </w:rPr>
              <w:t xml:space="preserve">l </w:t>
            </w:r>
            <w:r w:rsidRPr="00534B00">
              <w:rPr>
                <w:rFonts w:cs="Arial"/>
                <w:color w:val="000000" w:themeColor="text1"/>
              </w:rPr>
              <w:t>CONEAUPA en eventos académicos internacionales.</w:t>
            </w:r>
          </w:p>
          <w:p w:rsidR="00764B8C" w:rsidRPr="00534B00" w:rsidRDefault="00764B8C" w:rsidP="00CA7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:rsidR="00764B8C" w:rsidRPr="00534B00" w:rsidRDefault="00764B8C" w:rsidP="00CA77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</w:rPr>
              <w:t>Se participó en cuatro (4)</w:t>
            </w:r>
            <w:r w:rsidR="002A4225" w:rsidRPr="00534B00">
              <w:rPr>
                <w:rFonts w:cs="Arial"/>
              </w:rPr>
              <w:t xml:space="preserve"> eventos internacionales, con 5</w:t>
            </w:r>
            <w:r w:rsidRPr="00534B00">
              <w:rPr>
                <w:rFonts w:cs="Arial"/>
              </w:rPr>
              <w:t xml:space="preserve"> participantes de la CTEA.</w:t>
            </w:r>
          </w:p>
        </w:tc>
      </w:tr>
      <w:tr w:rsidR="00764B8C" w:rsidRPr="000C1923" w:rsidTr="00534B00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9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gridSpan w:val="2"/>
          </w:tcPr>
          <w:p w:rsidR="00764B8C" w:rsidRPr="000C1923" w:rsidRDefault="00534B00" w:rsidP="00CA773B">
            <w:pPr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</w:tcPr>
          <w:p w:rsidR="00764B8C" w:rsidRPr="00534B00" w:rsidRDefault="008C6B45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>Elaboración de la Propuesta para</w:t>
            </w:r>
            <w:r w:rsidR="00764B8C" w:rsidRPr="00534B00">
              <w:rPr>
                <w:rFonts w:cs="Arial"/>
                <w:color w:val="000000" w:themeColor="text1"/>
              </w:rPr>
              <w:t xml:space="preserve"> la </w:t>
            </w:r>
            <w:r w:rsidR="002A4225" w:rsidRPr="00534B00">
              <w:rPr>
                <w:rFonts w:cs="Arial"/>
                <w:color w:val="000000" w:themeColor="text1"/>
              </w:rPr>
              <w:t>actualización del Modelo</w:t>
            </w:r>
            <w:r w:rsidRPr="00534B00">
              <w:rPr>
                <w:rFonts w:cs="Arial"/>
                <w:color w:val="000000" w:themeColor="text1"/>
              </w:rPr>
              <w:t xml:space="preserve"> de evaluación con</w:t>
            </w:r>
            <w:r w:rsidR="002A4225" w:rsidRPr="00534B00">
              <w:rPr>
                <w:rFonts w:cs="Arial"/>
                <w:color w:val="000000" w:themeColor="text1"/>
              </w:rPr>
              <w:t xml:space="preserve"> fines de acreditación y reacreditación y la Matriz de acreditación y reacreditación institucional, de carreras y programas. </w:t>
            </w:r>
          </w:p>
        </w:tc>
        <w:tc>
          <w:tcPr>
            <w:tcW w:w="4150" w:type="dxa"/>
            <w:gridSpan w:val="2"/>
            <w:tcBorders>
              <w:left w:val="single" w:sz="4" w:space="0" w:color="auto"/>
            </w:tcBorders>
          </w:tcPr>
          <w:p w:rsidR="00764B8C" w:rsidRPr="00534B00" w:rsidRDefault="00764B8C" w:rsidP="00CA77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534B00">
              <w:rPr>
                <w:rFonts w:cs="Arial"/>
                <w:color w:val="000000" w:themeColor="text1"/>
              </w:rPr>
              <w:t xml:space="preserve">Se </w:t>
            </w:r>
            <w:r w:rsidR="008D5AF2" w:rsidRPr="00534B00">
              <w:rPr>
                <w:rFonts w:cs="Arial"/>
                <w:color w:val="000000" w:themeColor="text1"/>
              </w:rPr>
              <w:t>realizaron reuniones</w:t>
            </w:r>
            <w:r w:rsidR="00BE462A" w:rsidRPr="00534B00">
              <w:rPr>
                <w:rFonts w:cs="Arial"/>
                <w:color w:val="000000" w:themeColor="text1"/>
              </w:rPr>
              <w:t xml:space="preserve"> </w:t>
            </w:r>
            <w:r w:rsidR="008C6B45" w:rsidRPr="00534B00">
              <w:rPr>
                <w:rFonts w:cs="Arial"/>
                <w:color w:val="000000" w:themeColor="text1"/>
              </w:rPr>
              <w:t>con representantes de las</w:t>
            </w:r>
            <w:r w:rsidR="002A4225" w:rsidRPr="00534B00">
              <w:rPr>
                <w:rFonts w:cs="Arial"/>
                <w:color w:val="000000" w:themeColor="text1"/>
              </w:rPr>
              <w:t xml:space="preserve"> </w:t>
            </w:r>
            <w:r w:rsidR="008C6B45" w:rsidRPr="00534B00">
              <w:rPr>
                <w:rFonts w:cs="Arial"/>
                <w:color w:val="000000" w:themeColor="text1"/>
              </w:rPr>
              <w:t>universidades del país en las cuales</w:t>
            </w:r>
            <w:r w:rsidR="00292919" w:rsidRPr="00534B00">
              <w:rPr>
                <w:rFonts w:cs="Arial"/>
                <w:color w:val="000000" w:themeColor="text1"/>
              </w:rPr>
              <w:t xml:space="preserve"> se trabajó</w:t>
            </w:r>
            <w:r w:rsidR="004E5F42" w:rsidRPr="00534B00">
              <w:rPr>
                <w:rFonts w:cs="Arial"/>
                <w:color w:val="000000" w:themeColor="text1"/>
              </w:rPr>
              <w:t xml:space="preserve"> </w:t>
            </w:r>
            <w:r w:rsidR="008D5AF2" w:rsidRPr="00534B00">
              <w:rPr>
                <w:rFonts w:cs="Arial"/>
                <w:color w:val="000000" w:themeColor="text1"/>
              </w:rPr>
              <w:t>en el</w:t>
            </w:r>
            <w:r w:rsidR="004E5F42" w:rsidRPr="00534B00">
              <w:rPr>
                <w:rFonts w:cs="Arial"/>
                <w:color w:val="000000" w:themeColor="text1"/>
              </w:rPr>
              <w:t xml:space="preserve"> </w:t>
            </w:r>
            <w:r w:rsidR="008D5AF2" w:rsidRPr="00534B00">
              <w:rPr>
                <w:rFonts w:cs="Arial"/>
                <w:color w:val="000000" w:themeColor="text1"/>
              </w:rPr>
              <w:t xml:space="preserve">modelo </w:t>
            </w:r>
            <w:r w:rsidR="008C6B45" w:rsidRPr="00534B00">
              <w:rPr>
                <w:rFonts w:cs="Arial"/>
                <w:color w:val="000000" w:themeColor="text1"/>
              </w:rPr>
              <w:t xml:space="preserve">y matriz de evaluación </w:t>
            </w:r>
            <w:r w:rsidR="008D5AF2" w:rsidRPr="00534B00">
              <w:rPr>
                <w:rFonts w:cs="Arial"/>
                <w:color w:val="000000" w:themeColor="text1"/>
              </w:rPr>
              <w:t>con</w:t>
            </w:r>
            <w:r w:rsidR="004E5F42" w:rsidRPr="00534B00">
              <w:rPr>
                <w:rFonts w:cs="Arial"/>
                <w:color w:val="000000" w:themeColor="text1"/>
              </w:rPr>
              <w:t xml:space="preserve"> fines de acredita</w:t>
            </w:r>
            <w:r w:rsidR="008C6B45" w:rsidRPr="00534B00">
              <w:rPr>
                <w:rFonts w:cs="Arial"/>
                <w:color w:val="000000" w:themeColor="text1"/>
              </w:rPr>
              <w:t xml:space="preserve">ción y </w:t>
            </w:r>
            <w:r w:rsidR="00292919" w:rsidRPr="00534B00">
              <w:rPr>
                <w:rFonts w:cs="Arial"/>
                <w:color w:val="000000" w:themeColor="text1"/>
              </w:rPr>
              <w:t>reacreditación institucional</w:t>
            </w:r>
            <w:r w:rsidR="008C6B45" w:rsidRPr="00534B00">
              <w:rPr>
                <w:rFonts w:cs="Arial"/>
                <w:color w:val="000000" w:themeColor="text1"/>
              </w:rPr>
              <w:t xml:space="preserve">, de programas y carreras. </w:t>
            </w:r>
          </w:p>
        </w:tc>
      </w:tr>
    </w:tbl>
    <w:p w:rsidR="00764B8C" w:rsidRDefault="00764B8C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EE0D6C" w:rsidRDefault="00EE0D6C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EE0D6C" w:rsidRDefault="00EE0D6C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8D5AF2" w:rsidRDefault="008D5AF2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534B00" w:rsidRDefault="00534B00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534B00" w:rsidRDefault="00534B00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8D5AF2" w:rsidRDefault="008D5AF2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8D5AF2" w:rsidRPr="000C1923" w:rsidRDefault="008D5AF2" w:rsidP="0018036A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7A5A3F" w:rsidRDefault="00534B00" w:rsidP="00593D10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32"/>
          <w:szCs w:val="32"/>
        </w:rPr>
      </w:pPr>
      <w:r>
        <w:rPr>
          <w:rFonts w:ascii="Britannic Bold" w:hAnsi="Britannic Bold" w:cs="Arial"/>
          <w:color w:val="385623" w:themeColor="accent6" w:themeShade="80"/>
          <w:sz w:val="32"/>
          <w:szCs w:val="32"/>
        </w:rPr>
        <w:t>PROCESOS DE ACREDITACIÓ</w:t>
      </w:r>
      <w:r w:rsidR="00593D10"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N INSTITUCIONAL Y DE CARRERAS REALIZADOS EN CONEAUPA </w:t>
      </w:r>
    </w:p>
    <w:p w:rsidR="00593D10" w:rsidRPr="00593D10" w:rsidRDefault="00593D10" w:rsidP="00593D10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32"/>
          <w:szCs w:val="32"/>
        </w:rPr>
      </w:pPr>
    </w:p>
    <w:p w:rsidR="007A5A3F" w:rsidRDefault="007A5A3F" w:rsidP="007A5A3F">
      <w:pPr>
        <w:jc w:val="both"/>
        <w:rPr>
          <w:sz w:val="24"/>
          <w:szCs w:val="24"/>
        </w:rPr>
      </w:pPr>
    </w:p>
    <w:p w:rsidR="008D5AF2" w:rsidRDefault="008D5AF2" w:rsidP="007A5A3F">
      <w:pPr>
        <w:jc w:val="both"/>
        <w:rPr>
          <w:sz w:val="24"/>
          <w:szCs w:val="24"/>
        </w:rPr>
      </w:pPr>
      <w:r>
        <w:rPr>
          <w:sz w:val="24"/>
          <w:szCs w:val="24"/>
        </w:rPr>
        <w:t>En cuanto a carreras, en el 2017, se llevó a cabo, la primera entrega de acreditaciones de carreras</w:t>
      </w:r>
      <w:r w:rsidR="00743627">
        <w:rPr>
          <w:sz w:val="24"/>
          <w:szCs w:val="24"/>
        </w:rPr>
        <w:t xml:space="preserve"> de Ciencias de la Salud, para ocho</w:t>
      </w:r>
      <w:r w:rsidR="00163C3E">
        <w:rPr>
          <w:sz w:val="24"/>
          <w:szCs w:val="24"/>
        </w:rPr>
        <w:t xml:space="preserve"> </w:t>
      </w:r>
      <w:r w:rsidR="00743627">
        <w:rPr>
          <w:sz w:val="24"/>
          <w:szCs w:val="24"/>
        </w:rPr>
        <w:t>(8)</w:t>
      </w:r>
      <w:r>
        <w:rPr>
          <w:sz w:val="24"/>
          <w:szCs w:val="24"/>
        </w:rPr>
        <w:t xml:space="preserve"> universi</w:t>
      </w:r>
      <w:r w:rsidR="00292919">
        <w:rPr>
          <w:sz w:val="24"/>
          <w:szCs w:val="24"/>
        </w:rPr>
        <w:t xml:space="preserve">dades que participaron en los </w:t>
      </w:r>
      <w:r w:rsidR="00743627">
        <w:rPr>
          <w:sz w:val="24"/>
          <w:szCs w:val="24"/>
        </w:rPr>
        <w:t>diez (</w:t>
      </w:r>
      <w:r w:rsidR="00292919">
        <w:rPr>
          <w:sz w:val="24"/>
          <w:szCs w:val="24"/>
        </w:rPr>
        <w:t>10</w:t>
      </w:r>
      <w:r w:rsidR="00743627">
        <w:rPr>
          <w:sz w:val="24"/>
          <w:szCs w:val="24"/>
        </w:rPr>
        <w:t>)</w:t>
      </w:r>
      <w:r>
        <w:rPr>
          <w:sz w:val="24"/>
          <w:szCs w:val="24"/>
        </w:rPr>
        <w:t xml:space="preserve"> procesos de evaluación para la acreditación de las carreras de Psicología, Odontología y Fisioterapia. </w:t>
      </w:r>
    </w:p>
    <w:p w:rsidR="00593D10" w:rsidRDefault="00593D10" w:rsidP="007A5A3F">
      <w:pPr>
        <w:jc w:val="both"/>
        <w:rPr>
          <w:sz w:val="24"/>
          <w:szCs w:val="24"/>
        </w:rPr>
      </w:pPr>
    </w:p>
    <w:p w:rsidR="00593D10" w:rsidRDefault="00593D10" w:rsidP="007A5A3F">
      <w:pPr>
        <w:jc w:val="both"/>
        <w:rPr>
          <w:sz w:val="24"/>
          <w:szCs w:val="24"/>
        </w:rPr>
      </w:pPr>
    </w:p>
    <w:p w:rsidR="00593D10" w:rsidRPr="0018036A" w:rsidRDefault="00593D10" w:rsidP="00593D10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32"/>
          <w:szCs w:val="32"/>
        </w:rPr>
      </w:pPr>
      <w:r>
        <w:rPr>
          <w:rFonts w:ascii="Britannic Bold" w:hAnsi="Britannic Bold" w:cs="Arial"/>
          <w:color w:val="385623" w:themeColor="accent6" w:themeShade="80"/>
          <w:sz w:val="32"/>
          <w:szCs w:val="32"/>
        </w:rPr>
        <w:t>LISTADO DE UNIVERSIDADES ACREDITADAS EN CARRERAS DE</w:t>
      </w:r>
      <w:r w:rsidR="00292919"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 CIENCIAS DE LA SALUD: PSICOLOGÍ</w:t>
      </w:r>
      <w:r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A, ODONTOLOGÍA Y FISIOTERAPIA </w:t>
      </w:r>
    </w:p>
    <w:p w:rsidR="00E41274" w:rsidRPr="00E41274" w:rsidRDefault="00E41274" w:rsidP="00593D10">
      <w:pPr>
        <w:rPr>
          <w:b/>
          <w:sz w:val="24"/>
          <w:szCs w:val="24"/>
        </w:rPr>
      </w:pPr>
    </w:p>
    <w:tbl>
      <w:tblPr>
        <w:tblStyle w:val="Listaclara-nfasis6"/>
        <w:tblW w:w="0" w:type="auto"/>
        <w:tblInd w:w="416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7"/>
        <w:gridCol w:w="4252"/>
      </w:tblGrid>
      <w:tr w:rsidR="00E41274" w:rsidRPr="00784BD6" w:rsidTr="003C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E41274" w:rsidRPr="00784BD6" w:rsidRDefault="00E41274" w:rsidP="00A62549">
            <w:pPr>
              <w:pStyle w:val="Prrafodelista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UNIVERSIDAD 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85623" w:themeFill="accent6" w:themeFillShade="80"/>
          </w:tcPr>
          <w:p w:rsidR="00E41274" w:rsidRPr="00784BD6" w:rsidRDefault="00E41274" w:rsidP="00A62549">
            <w:pPr>
              <w:pStyle w:val="Prrafodelista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CARRERA </w:t>
            </w:r>
          </w:p>
        </w:tc>
      </w:tr>
      <w:tr w:rsidR="00E41274" w:rsidRPr="00784BD6" w:rsidTr="003C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E41274" w:rsidRPr="00784BD6" w:rsidRDefault="00E41274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de Panamá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41274" w:rsidRDefault="00E41274" w:rsidP="00286D37">
            <w:pPr>
              <w:pStyle w:val="Prrafodelista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Licenciatura en Psicología</w:t>
            </w:r>
          </w:p>
          <w:p w:rsidR="00E41274" w:rsidRPr="00784BD6" w:rsidRDefault="00E41274" w:rsidP="00286D37">
            <w:pPr>
              <w:pStyle w:val="Prrafodelista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Licenciatura en Doctor en Cirugía Dental</w:t>
            </w:r>
          </w:p>
        </w:tc>
      </w:tr>
      <w:tr w:rsidR="00E41274" w:rsidRPr="00784BD6" w:rsidTr="003C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E41274" w:rsidRPr="00784BD6" w:rsidRDefault="00E41274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Autónoma de Chiriquí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41274" w:rsidRPr="00784BD6" w:rsidRDefault="00E41274" w:rsidP="00286D37">
            <w:pPr>
              <w:pStyle w:val="Prrafodelista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Licenciatura en Psicología</w:t>
            </w:r>
          </w:p>
        </w:tc>
      </w:tr>
      <w:tr w:rsidR="00E41274" w:rsidRPr="00784BD6" w:rsidTr="003C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E41274" w:rsidRPr="00784BD6" w:rsidRDefault="00E41274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Especializada de las Américas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41274" w:rsidRPr="00784BD6" w:rsidRDefault="00E41274" w:rsidP="00286D37">
            <w:pPr>
              <w:pStyle w:val="Prrafodelista"/>
              <w:spacing w:before="24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Licenciatura en Fisioterapia</w:t>
            </w:r>
          </w:p>
        </w:tc>
      </w:tr>
      <w:tr w:rsidR="00286D37" w:rsidRPr="00784BD6" w:rsidTr="003C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286D37" w:rsidRDefault="00286D37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Católica Santa María La Antigua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6D37" w:rsidRDefault="00292919" w:rsidP="00286D37">
            <w:pPr>
              <w:pStyle w:val="Prrafodelista"/>
              <w:spacing w:before="24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Licenciatura en Ps</w:t>
            </w:r>
            <w:r w:rsidR="00286D37">
              <w:rPr>
                <w:rFonts w:cs="Arial"/>
                <w:color w:val="000000" w:themeColor="text1"/>
                <w:sz w:val="24"/>
                <w:szCs w:val="24"/>
              </w:rPr>
              <w:t>icología</w:t>
            </w:r>
          </w:p>
        </w:tc>
      </w:tr>
      <w:tr w:rsidR="00286D37" w:rsidRPr="00784BD6" w:rsidTr="003C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286D37" w:rsidRDefault="00286D37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Latina de Panamá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286D37" w:rsidRDefault="00286D37" w:rsidP="003C5DE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Licenciatura en Psicología</w:t>
            </w:r>
          </w:p>
          <w:p w:rsidR="00286D37" w:rsidRDefault="00286D37" w:rsidP="003C5DE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Licenciatura en Odontología</w:t>
            </w:r>
          </w:p>
        </w:tc>
      </w:tr>
      <w:tr w:rsidR="00286D37" w:rsidRPr="00784BD6" w:rsidTr="003C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286D37" w:rsidRDefault="003C5DEA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Universidad Interamericana de Panamá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6D37" w:rsidRDefault="00286D37" w:rsidP="003C5DE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DEA" w:rsidRDefault="003C5DEA" w:rsidP="003C5DE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Licenciatura en Doctor en Cirugía Dental </w:t>
            </w:r>
          </w:p>
        </w:tc>
      </w:tr>
      <w:tr w:rsidR="00286D37" w:rsidRPr="00784BD6" w:rsidTr="003C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286D37" w:rsidRDefault="003C5DEA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Latinoamericana de Comercio Exterior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86D37" w:rsidRDefault="003C5DEA" w:rsidP="003C5DEA">
            <w:pPr>
              <w:pStyle w:val="Prrafodelista"/>
              <w:spacing w:before="24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Licenciatura en Psicología </w:t>
            </w:r>
          </w:p>
        </w:tc>
      </w:tr>
      <w:tr w:rsidR="003C5DEA" w:rsidRPr="00784BD6" w:rsidTr="003C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right w:val="single" w:sz="4" w:space="0" w:color="auto"/>
            </w:tcBorders>
          </w:tcPr>
          <w:p w:rsidR="003C5DEA" w:rsidRDefault="003C5DEA" w:rsidP="00A62549">
            <w:pPr>
              <w:pStyle w:val="Prrafodelista"/>
              <w:ind w:left="0"/>
              <w:contextualSpacing w:val="0"/>
              <w:jc w:val="both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Universidad Metropolitana de Educación, Ciencia y Tecnología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C5DEA" w:rsidRDefault="003C5DEA" w:rsidP="003C5DEA">
            <w:pPr>
              <w:pStyle w:val="Prrafodelista"/>
              <w:spacing w:before="24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Licenciatura en Psicología </w:t>
            </w:r>
          </w:p>
        </w:tc>
      </w:tr>
    </w:tbl>
    <w:p w:rsidR="00E41274" w:rsidRDefault="00E41274" w:rsidP="007A5A3F">
      <w:pPr>
        <w:jc w:val="both"/>
        <w:rPr>
          <w:sz w:val="24"/>
          <w:szCs w:val="24"/>
        </w:rPr>
      </w:pPr>
    </w:p>
    <w:p w:rsidR="00E41274" w:rsidRPr="003C4A6D" w:rsidRDefault="00E41274" w:rsidP="007A5A3F">
      <w:pPr>
        <w:jc w:val="both"/>
        <w:rPr>
          <w:sz w:val="24"/>
          <w:szCs w:val="24"/>
        </w:rPr>
      </w:pPr>
    </w:p>
    <w:p w:rsidR="007A5A3F" w:rsidRDefault="007A5A3F" w:rsidP="007A5A3F">
      <w:pPr>
        <w:jc w:val="both"/>
        <w:rPr>
          <w:sz w:val="24"/>
          <w:szCs w:val="24"/>
        </w:rPr>
      </w:pPr>
    </w:p>
    <w:p w:rsidR="00764B8C" w:rsidRPr="000C1923" w:rsidRDefault="003C5DE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noProof/>
          <w:lang w:eastAsia="es-PA"/>
        </w:rPr>
        <w:lastRenderedPageBreak/>
        <w:drawing>
          <wp:inline distT="0" distB="0" distL="0" distR="0" wp14:anchorId="321AB4BB" wp14:editId="4594323D">
            <wp:extent cx="4524375" cy="2790825"/>
            <wp:effectExtent l="0" t="0" r="9525" b="9525"/>
            <wp:docPr id="41" name="Imagen 41" descr="C:\Users\liseth.mena\Downloads\IMG_60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liseth.mena\Downloads\IMG_60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3F" w:rsidRDefault="007A5A3F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A5A3F" w:rsidRDefault="007A5A3F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3C5DEA" w:rsidRDefault="003C5DEA" w:rsidP="003C5DEA">
      <w:pPr>
        <w:jc w:val="both"/>
        <w:rPr>
          <w:i/>
          <w:sz w:val="20"/>
          <w:szCs w:val="20"/>
        </w:rPr>
      </w:pPr>
      <w:r w:rsidRPr="00CD370E">
        <w:rPr>
          <w:i/>
          <w:sz w:val="20"/>
          <w:szCs w:val="20"/>
        </w:rPr>
        <w:t>El evento de entrega de las acreditaciones de carrera c</w:t>
      </w:r>
      <w:r w:rsidR="00292919">
        <w:rPr>
          <w:i/>
          <w:sz w:val="20"/>
          <w:szCs w:val="20"/>
        </w:rPr>
        <w:t xml:space="preserve">ontó con la participación de S.E. </w:t>
      </w:r>
      <w:r w:rsidR="00292919" w:rsidRPr="00CD370E">
        <w:rPr>
          <w:i/>
          <w:sz w:val="20"/>
          <w:szCs w:val="20"/>
        </w:rPr>
        <w:t>Marcela</w:t>
      </w:r>
      <w:r w:rsidRPr="00CD370E">
        <w:rPr>
          <w:i/>
          <w:sz w:val="20"/>
          <w:szCs w:val="20"/>
        </w:rPr>
        <w:t xml:space="preserve"> Paredes de Vásquez,</w:t>
      </w:r>
      <w:r>
        <w:rPr>
          <w:i/>
          <w:sz w:val="20"/>
          <w:szCs w:val="20"/>
        </w:rPr>
        <w:t xml:space="preserve"> Ministra de Educación y Presidente de</w:t>
      </w:r>
      <w:r w:rsidR="00163C3E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 Coneaupa, </w:t>
      </w:r>
      <w:r w:rsidRPr="00CD370E">
        <w:rPr>
          <w:i/>
          <w:sz w:val="20"/>
          <w:szCs w:val="20"/>
        </w:rPr>
        <w:t>Rectores de la Universidades participantes, invitados especiales y miembros del equipo Técnico de</w:t>
      </w:r>
      <w:r w:rsidR="00163C3E">
        <w:rPr>
          <w:i/>
          <w:sz w:val="20"/>
          <w:szCs w:val="20"/>
        </w:rPr>
        <w:t>l</w:t>
      </w:r>
      <w:r w:rsidRPr="00CD370E">
        <w:rPr>
          <w:i/>
          <w:sz w:val="20"/>
          <w:szCs w:val="20"/>
        </w:rPr>
        <w:t xml:space="preserve"> Coneaupa. </w:t>
      </w:r>
    </w:p>
    <w:p w:rsidR="004E5F42" w:rsidRDefault="004E5F42" w:rsidP="003C5DEA">
      <w:pPr>
        <w:jc w:val="both"/>
        <w:rPr>
          <w:sz w:val="20"/>
          <w:szCs w:val="20"/>
        </w:rPr>
      </w:pPr>
    </w:p>
    <w:p w:rsidR="0059140A" w:rsidRDefault="0059140A" w:rsidP="003C5DEA">
      <w:pPr>
        <w:jc w:val="both"/>
        <w:rPr>
          <w:sz w:val="20"/>
          <w:szCs w:val="20"/>
        </w:rPr>
      </w:pPr>
    </w:p>
    <w:p w:rsidR="0059140A" w:rsidRDefault="0059140A" w:rsidP="003C5DEA">
      <w:pPr>
        <w:jc w:val="both"/>
        <w:rPr>
          <w:sz w:val="20"/>
          <w:szCs w:val="20"/>
        </w:rPr>
      </w:pPr>
    </w:p>
    <w:p w:rsidR="0059140A" w:rsidRDefault="0059140A" w:rsidP="003C5DEA">
      <w:pPr>
        <w:jc w:val="both"/>
        <w:rPr>
          <w:sz w:val="20"/>
          <w:szCs w:val="20"/>
        </w:rPr>
      </w:pPr>
    </w:p>
    <w:p w:rsidR="0059140A" w:rsidRDefault="0059140A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9F793D" w:rsidRDefault="009F793D" w:rsidP="003C5DEA">
      <w:pPr>
        <w:jc w:val="both"/>
        <w:rPr>
          <w:sz w:val="20"/>
          <w:szCs w:val="20"/>
        </w:rPr>
      </w:pPr>
    </w:p>
    <w:p w:rsidR="0059140A" w:rsidRDefault="0059140A" w:rsidP="003C5DEA">
      <w:pPr>
        <w:jc w:val="both"/>
        <w:rPr>
          <w:sz w:val="20"/>
          <w:szCs w:val="20"/>
        </w:rPr>
      </w:pPr>
    </w:p>
    <w:p w:rsidR="0059140A" w:rsidRDefault="0059140A" w:rsidP="003C5DEA">
      <w:pPr>
        <w:jc w:val="both"/>
        <w:rPr>
          <w:sz w:val="20"/>
          <w:szCs w:val="20"/>
        </w:rPr>
      </w:pPr>
    </w:p>
    <w:p w:rsidR="0059140A" w:rsidRDefault="00292919" w:rsidP="0059140A">
      <w:pPr>
        <w:spacing w:after="0" w:line="240" w:lineRule="auto"/>
        <w:rPr>
          <w:rFonts w:ascii="Britannic Bold" w:hAnsi="Britannic Bold" w:cs="Arial"/>
          <w:color w:val="385623" w:themeColor="accent6" w:themeShade="80"/>
          <w:sz w:val="32"/>
          <w:szCs w:val="32"/>
        </w:rPr>
      </w:pPr>
      <w:r>
        <w:rPr>
          <w:rFonts w:ascii="Britannic Bold" w:hAnsi="Britannic Bold" w:cs="Arial"/>
          <w:color w:val="385623" w:themeColor="accent6" w:themeShade="80"/>
          <w:sz w:val="32"/>
          <w:szCs w:val="32"/>
        </w:rPr>
        <w:lastRenderedPageBreak/>
        <w:t>CONEAUPA FACILITA LA ACTUALIZACIÓN</w:t>
      </w:r>
      <w:r w:rsidR="0059140A"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 DEL</w:t>
      </w:r>
      <w:r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 MODELO CON FINES DE ACREDITACIÓN Y REACREDITACIÓ</w:t>
      </w:r>
      <w:r w:rsidR="0059140A"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N INSTITUCIONAL Y DE CARRERAS Y MATRIZ INSTITUCIONAL </w:t>
      </w:r>
    </w:p>
    <w:p w:rsidR="0059140A" w:rsidRDefault="0059140A" w:rsidP="003C5DEA">
      <w:pPr>
        <w:jc w:val="both"/>
        <w:rPr>
          <w:rFonts w:cs="Arial"/>
          <w:color w:val="000000" w:themeColor="text1"/>
          <w:sz w:val="24"/>
          <w:szCs w:val="24"/>
        </w:rPr>
      </w:pPr>
    </w:p>
    <w:p w:rsidR="0059140A" w:rsidRDefault="0059140A" w:rsidP="003C5DEA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Con la participación de una Comisión conformada por las Universida</w:t>
      </w:r>
      <w:r w:rsidR="00292919">
        <w:rPr>
          <w:rFonts w:cs="Arial"/>
          <w:color w:val="000000" w:themeColor="text1"/>
          <w:sz w:val="24"/>
          <w:szCs w:val="24"/>
        </w:rPr>
        <w:t xml:space="preserve">des Oficiales </w:t>
      </w:r>
      <w:r>
        <w:rPr>
          <w:rFonts w:cs="Arial"/>
          <w:color w:val="000000" w:themeColor="text1"/>
          <w:sz w:val="24"/>
          <w:szCs w:val="24"/>
        </w:rPr>
        <w:t xml:space="preserve"> y Particulares, el CONEAUPA, coordina la actualización del Modelo de</w:t>
      </w:r>
      <w:r w:rsidR="00292919">
        <w:rPr>
          <w:rFonts w:cs="Arial"/>
          <w:color w:val="000000" w:themeColor="text1"/>
          <w:sz w:val="24"/>
          <w:szCs w:val="24"/>
        </w:rPr>
        <w:t xml:space="preserve"> Evaluación con fines de</w:t>
      </w:r>
      <w:r>
        <w:rPr>
          <w:rFonts w:cs="Arial"/>
          <w:color w:val="000000" w:themeColor="text1"/>
          <w:sz w:val="24"/>
          <w:szCs w:val="24"/>
        </w:rPr>
        <w:t xml:space="preserve"> Acreditación y Reacreditación Institucional</w:t>
      </w:r>
      <w:r w:rsidR="00292919">
        <w:rPr>
          <w:rFonts w:cs="Arial"/>
          <w:color w:val="000000" w:themeColor="text1"/>
          <w:sz w:val="24"/>
          <w:szCs w:val="24"/>
        </w:rPr>
        <w:t xml:space="preserve">, Programas </w:t>
      </w:r>
      <w:r>
        <w:rPr>
          <w:rFonts w:cs="Arial"/>
          <w:color w:val="000000" w:themeColor="text1"/>
          <w:sz w:val="24"/>
          <w:szCs w:val="24"/>
        </w:rPr>
        <w:t xml:space="preserve"> y de Carrera</w:t>
      </w:r>
      <w:r w:rsidR="00163C3E">
        <w:rPr>
          <w:rFonts w:cs="Arial"/>
          <w:color w:val="000000" w:themeColor="text1"/>
          <w:sz w:val="24"/>
          <w:szCs w:val="24"/>
        </w:rPr>
        <w:t>s</w:t>
      </w:r>
      <w:r>
        <w:rPr>
          <w:rFonts w:cs="Arial"/>
          <w:color w:val="000000" w:themeColor="text1"/>
          <w:sz w:val="24"/>
          <w:szCs w:val="24"/>
        </w:rPr>
        <w:t>, de acuerdo a la nueva normativa que se establece en la Ley 52, de 26 de junio de 2015.</w:t>
      </w:r>
    </w:p>
    <w:p w:rsidR="004E5F42" w:rsidRDefault="004E5F42" w:rsidP="003C5DEA">
      <w:pPr>
        <w:jc w:val="both"/>
        <w:rPr>
          <w:i/>
          <w:sz w:val="20"/>
          <w:szCs w:val="20"/>
        </w:rPr>
      </w:pPr>
      <w:r>
        <w:rPr>
          <w:noProof/>
          <w:lang w:eastAsia="es-PA"/>
        </w:rPr>
        <w:drawing>
          <wp:inline distT="0" distB="0" distL="0" distR="0" wp14:anchorId="33FB9D36" wp14:editId="56CAF30A">
            <wp:extent cx="4362450" cy="2809875"/>
            <wp:effectExtent l="0" t="0" r="0" b="9525"/>
            <wp:docPr id="43" name="Imagen 43" descr="C:\Users\liseth.mena\Downloads\IMG_74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iseth.mena\Downloads\IMG_74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F42" w:rsidRPr="00CD370E" w:rsidRDefault="004E5F42" w:rsidP="003C5DEA">
      <w:pPr>
        <w:jc w:val="both"/>
        <w:rPr>
          <w:i/>
          <w:sz w:val="20"/>
          <w:szCs w:val="20"/>
        </w:rPr>
      </w:pPr>
    </w:p>
    <w:p w:rsidR="004E5F42" w:rsidRPr="004E5F42" w:rsidRDefault="004E5F42" w:rsidP="004E5F42">
      <w:pPr>
        <w:jc w:val="center"/>
        <w:rPr>
          <w:i/>
          <w:color w:val="000000" w:themeColor="text1"/>
          <w:sz w:val="20"/>
          <w:szCs w:val="20"/>
        </w:rPr>
      </w:pPr>
      <w:r w:rsidRPr="004E5F42">
        <w:rPr>
          <w:i/>
          <w:color w:val="000000" w:themeColor="text1"/>
          <w:sz w:val="20"/>
          <w:szCs w:val="20"/>
        </w:rPr>
        <w:t>Reunión de Comisión designada para la revisión del modelo con fines de acreditación inst</w:t>
      </w:r>
      <w:r>
        <w:rPr>
          <w:i/>
          <w:color w:val="000000" w:themeColor="text1"/>
          <w:sz w:val="20"/>
          <w:szCs w:val="20"/>
        </w:rPr>
        <w:t xml:space="preserve">itucional, carrera o programas y la matriz de acreditación y reacreditación institucional. </w:t>
      </w:r>
    </w:p>
    <w:p w:rsidR="0018036A" w:rsidRDefault="0018036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140A" w:rsidRDefault="0059140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140A" w:rsidRDefault="0059140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140A" w:rsidRDefault="0059140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140A" w:rsidRDefault="0059140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140A" w:rsidRDefault="0059140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140A" w:rsidRDefault="0059140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F793D" w:rsidRDefault="009F793D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3D10" w:rsidRDefault="00593D10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593D10" w:rsidRPr="0018036A" w:rsidRDefault="00593D10" w:rsidP="00593D10">
      <w:pPr>
        <w:spacing w:after="0" w:line="240" w:lineRule="auto"/>
        <w:jc w:val="center"/>
        <w:rPr>
          <w:rFonts w:ascii="Britannic Bold" w:hAnsi="Britannic Bold" w:cs="Arial"/>
          <w:color w:val="385623" w:themeColor="accent6" w:themeShade="80"/>
          <w:sz w:val="32"/>
          <w:szCs w:val="32"/>
        </w:rPr>
      </w:pPr>
      <w:r w:rsidRPr="0018036A"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 </w:t>
      </w:r>
      <w:r>
        <w:rPr>
          <w:rFonts w:ascii="Britannic Bold" w:hAnsi="Britannic Bold" w:cs="Arial"/>
          <w:color w:val="385623" w:themeColor="accent6" w:themeShade="80"/>
          <w:sz w:val="32"/>
          <w:szCs w:val="32"/>
        </w:rPr>
        <w:t xml:space="preserve">XI ANIVERSARIO DE CONEAUPA </w:t>
      </w:r>
    </w:p>
    <w:p w:rsidR="00593D10" w:rsidRPr="00593D10" w:rsidRDefault="00593D10" w:rsidP="00593D10">
      <w:pPr>
        <w:rPr>
          <w:color w:val="000000" w:themeColor="text1"/>
          <w:sz w:val="28"/>
          <w:szCs w:val="28"/>
          <w:u w:val="single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</w:rPr>
      </w:pPr>
      <w:r w:rsidRPr="00F837AC">
        <w:rPr>
          <w:rFonts w:asciiTheme="minorHAnsi" w:hAnsiTheme="minorHAnsi" w:cs="Arial"/>
          <w:iCs/>
          <w:color w:val="000000"/>
        </w:rPr>
        <w:t>Para celebrar tan importante fecha, el Consejo Nacional de Evaluación y Acreditación Universitaria de Panamá organizó un evento académico que contó con la participación de expertos nacionales e internacionales</w:t>
      </w:r>
      <w:r w:rsidR="00292919">
        <w:rPr>
          <w:rFonts w:asciiTheme="minorHAnsi" w:hAnsiTheme="minorHAnsi" w:cs="Arial"/>
          <w:iCs/>
          <w:color w:val="000000"/>
        </w:rPr>
        <w:t xml:space="preserve">, cuyo marco fue propicio </w:t>
      </w:r>
      <w:r w:rsidR="00292919" w:rsidRPr="00F837AC">
        <w:rPr>
          <w:rFonts w:asciiTheme="minorHAnsi" w:hAnsiTheme="minorHAnsi" w:cs="Arial"/>
          <w:iCs/>
          <w:color w:val="000000"/>
        </w:rPr>
        <w:t>para</w:t>
      </w:r>
      <w:r w:rsidRPr="00F837AC">
        <w:rPr>
          <w:rFonts w:asciiTheme="minorHAnsi" w:hAnsiTheme="minorHAnsi" w:cs="Arial"/>
          <w:iCs/>
        </w:rPr>
        <w:t xml:space="preserve"> ampliar los conocimientos sobre </w:t>
      </w:r>
      <w:r>
        <w:rPr>
          <w:rFonts w:asciiTheme="minorHAnsi" w:hAnsiTheme="minorHAnsi" w:cs="Arial"/>
          <w:iCs/>
        </w:rPr>
        <w:t xml:space="preserve">los </w:t>
      </w:r>
      <w:r w:rsidRPr="00F837AC">
        <w:rPr>
          <w:rFonts w:asciiTheme="minorHAnsi" w:hAnsiTheme="minorHAnsi" w:cs="Arial"/>
          <w:iCs/>
        </w:rPr>
        <w:t>sistemas de acreditación de Centro y Sur América.</w:t>
      </w: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  <w:r>
        <w:rPr>
          <w:rFonts w:asciiTheme="minorHAnsi" w:hAnsiTheme="minorHAnsi" w:cs="Arial"/>
          <w:iCs/>
          <w:color w:val="000000"/>
        </w:rPr>
        <w:t xml:space="preserve">Entre las actividades </w:t>
      </w:r>
      <w:r w:rsidRPr="00F837AC">
        <w:rPr>
          <w:rFonts w:asciiTheme="minorHAnsi" w:hAnsiTheme="minorHAnsi" w:cs="Arial"/>
          <w:iCs/>
          <w:color w:val="000000"/>
        </w:rPr>
        <w:t>se desarrolló la conferencia “Acreditación Institucional y de Carreras: un análisis internacional desde una perspectiva c</w:t>
      </w:r>
      <w:r>
        <w:rPr>
          <w:rFonts w:asciiTheme="minorHAnsi" w:hAnsiTheme="minorHAnsi" w:cs="Arial"/>
          <w:iCs/>
          <w:color w:val="000000"/>
        </w:rPr>
        <w:t xml:space="preserve">omparada” con la participación </w:t>
      </w:r>
      <w:r w:rsidRPr="00F837AC">
        <w:rPr>
          <w:rFonts w:asciiTheme="minorHAnsi" w:hAnsiTheme="minorHAnsi" w:cs="Arial"/>
          <w:iCs/>
          <w:color w:val="000000"/>
        </w:rPr>
        <w:t>del Dr. Carlos Romero Rostagno, Director de la Secretaría de Grado y Postgrados de la Universidad Católica del Uruguay</w:t>
      </w:r>
      <w:r>
        <w:rPr>
          <w:rFonts w:asciiTheme="minorHAnsi" w:hAnsiTheme="minorHAnsi" w:cs="Arial"/>
          <w:iCs/>
          <w:color w:val="000000"/>
        </w:rPr>
        <w:t xml:space="preserve">.  </w:t>
      </w:r>
    </w:p>
    <w:p w:rsidR="00534B00" w:rsidRDefault="00534B00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EA4D74" wp14:editId="36AA05DA">
            <wp:simplePos x="0" y="0"/>
            <wp:positionH relativeFrom="column">
              <wp:posOffset>291464</wp:posOffset>
            </wp:positionH>
            <wp:positionV relativeFrom="paragraph">
              <wp:posOffset>-4445</wp:posOffset>
            </wp:positionV>
            <wp:extent cx="5000625" cy="3181350"/>
            <wp:effectExtent l="0" t="0" r="9525" b="0"/>
            <wp:wrapNone/>
            <wp:docPr id="45" name="Imagen 45" descr="C:\Users\liseth.mena\Downloads\thumbnail_IMG_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th.mena\Downloads\thumbnail_IMG_7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iCs/>
          <w:color w:val="000000"/>
        </w:rPr>
        <w:t xml:space="preserve">       </w:t>
      </w: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9F793D" w:rsidRDefault="009F793D" w:rsidP="009F793D">
      <w:pPr>
        <w:pStyle w:val="NormalWeb"/>
        <w:spacing w:before="0" w:beforeAutospacing="0" w:after="180" w:afterAutospacing="0" w:line="390" w:lineRule="atLeast"/>
        <w:jc w:val="both"/>
        <w:rPr>
          <w:rFonts w:asciiTheme="minorHAnsi" w:hAnsiTheme="minorHAnsi" w:cs="Arial"/>
          <w:iCs/>
          <w:color w:val="000000"/>
        </w:rPr>
      </w:pPr>
    </w:p>
    <w:p w:rsidR="00292919" w:rsidRDefault="00292919" w:rsidP="00292919">
      <w:pPr>
        <w:pStyle w:val="Sinespaciado"/>
        <w:jc w:val="both"/>
        <w:rPr>
          <w:i/>
        </w:rPr>
      </w:pPr>
    </w:p>
    <w:p w:rsidR="009F793D" w:rsidRPr="00292919" w:rsidRDefault="009F793D" w:rsidP="00292919">
      <w:pPr>
        <w:pStyle w:val="Sinespaciado"/>
        <w:jc w:val="both"/>
        <w:rPr>
          <w:i/>
          <w:sz w:val="20"/>
          <w:szCs w:val="20"/>
        </w:rPr>
      </w:pPr>
      <w:r w:rsidRPr="00292919">
        <w:rPr>
          <w:i/>
          <w:sz w:val="20"/>
          <w:szCs w:val="20"/>
        </w:rPr>
        <w:t>Foro “Puntos de vista de agencias internacionales y expertos sobre modelos de evaluación y acreditación institucional, carreras y programas.  Participaron como panelistas nacionales: El Dr. Carlos Him, presidente de la Agencia de Acreditación Centroamericana de la Educación Superior en el Sector Agroalimentario y de Recursos Naturales - ACESAR y el Dr. Juan Antonio Gómez, vicepresidente de la Agencia Centroamericana de Acreditación de Programas de Postgrado - ACAP; como panelistas internacionales: la Dra. Marcia Vargas, presidenta de Agencia Centroamericana de Acreditación de Programas de Arquitectura y de Ingeniería-ACAAI y el Dr. Carlos Romero Rostagno.</w:t>
      </w:r>
    </w:p>
    <w:p w:rsidR="00593D10" w:rsidRPr="009F793D" w:rsidRDefault="00593D10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593D10" w:rsidRPr="009F793D" w:rsidRDefault="00593D10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18036A" w:rsidRPr="009F793D" w:rsidRDefault="0018036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18036A" w:rsidRPr="009F793D" w:rsidRDefault="0018036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18036A" w:rsidRPr="009F793D" w:rsidRDefault="0018036A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A5A3F" w:rsidRPr="009F793D" w:rsidRDefault="007A5A3F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9F793D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i/>
          <w:color w:val="000000" w:themeColor="text1"/>
          <w:sz w:val="20"/>
          <w:szCs w:val="20"/>
        </w:rPr>
      </w:pPr>
    </w:p>
    <w:p w:rsidR="00764B8C" w:rsidRPr="000C1923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64B8C" w:rsidRPr="000C1923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64B8C" w:rsidRPr="000C1923" w:rsidRDefault="00764B8C" w:rsidP="00764B8C">
      <w:pPr>
        <w:tabs>
          <w:tab w:val="left" w:pos="900"/>
        </w:tabs>
        <w:spacing w:after="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64B8C" w:rsidRPr="000C1923" w:rsidRDefault="00764B8C" w:rsidP="00784BD6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p w:rsidR="00764B8C" w:rsidRPr="000C1923" w:rsidRDefault="00764B8C" w:rsidP="00764B8C">
      <w:pPr>
        <w:tabs>
          <w:tab w:val="left" w:pos="900"/>
        </w:tabs>
        <w:spacing w:after="0" w:line="240" w:lineRule="auto"/>
        <w:rPr>
          <w:rFonts w:cs="Arial"/>
          <w:b/>
          <w:color w:val="000000" w:themeColor="text1"/>
          <w:sz w:val="24"/>
          <w:szCs w:val="24"/>
        </w:rPr>
      </w:pPr>
    </w:p>
    <w:sectPr w:rsidR="00764B8C" w:rsidRPr="000C1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59FA"/>
    <w:multiLevelType w:val="hybridMultilevel"/>
    <w:tmpl w:val="151C2BCC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180A0019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5A85897"/>
    <w:multiLevelType w:val="hybridMultilevel"/>
    <w:tmpl w:val="62DE523A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73E2C"/>
    <w:multiLevelType w:val="hybridMultilevel"/>
    <w:tmpl w:val="110A0484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A6AF6"/>
    <w:multiLevelType w:val="hybridMultilevel"/>
    <w:tmpl w:val="6B3C35DE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413EC"/>
    <w:multiLevelType w:val="multilevel"/>
    <w:tmpl w:val="E7F2B94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4CA067E6"/>
    <w:multiLevelType w:val="hybridMultilevel"/>
    <w:tmpl w:val="405699BC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17C3C"/>
    <w:multiLevelType w:val="multilevel"/>
    <w:tmpl w:val="A08CCA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3600"/>
      </w:pPr>
      <w:rPr>
        <w:rFonts w:hint="default"/>
      </w:rPr>
    </w:lvl>
  </w:abstractNum>
  <w:abstractNum w:abstractNumId="7">
    <w:nsid w:val="77705BAE"/>
    <w:multiLevelType w:val="hybridMultilevel"/>
    <w:tmpl w:val="4F480FC8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DF2AD286">
      <w:numFmt w:val="bullet"/>
      <w:lvlText w:val="•"/>
      <w:lvlJc w:val="left"/>
      <w:pPr>
        <w:ind w:left="1068" w:hanging="708"/>
      </w:pPr>
      <w:rPr>
        <w:rFonts w:ascii="Calibri" w:eastAsiaTheme="minorHAnsi" w:hAnsi="Calibri" w:cs="Arial" w:hint="default"/>
      </w:r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7FF4C25"/>
    <w:multiLevelType w:val="hybridMultilevel"/>
    <w:tmpl w:val="C34CAD7A"/>
    <w:lvl w:ilvl="0" w:tplc="1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8C"/>
    <w:rsid w:val="001435A2"/>
    <w:rsid w:val="00161D03"/>
    <w:rsid w:val="00163C3E"/>
    <w:rsid w:val="0018036A"/>
    <w:rsid w:val="00212649"/>
    <w:rsid w:val="00286D37"/>
    <w:rsid w:val="00292919"/>
    <w:rsid w:val="002A4225"/>
    <w:rsid w:val="003C5DEA"/>
    <w:rsid w:val="0045549A"/>
    <w:rsid w:val="004E5F42"/>
    <w:rsid w:val="00534B00"/>
    <w:rsid w:val="0059140A"/>
    <w:rsid w:val="00593D10"/>
    <w:rsid w:val="00673179"/>
    <w:rsid w:val="00680585"/>
    <w:rsid w:val="00681046"/>
    <w:rsid w:val="00743627"/>
    <w:rsid w:val="00764B8C"/>
    <w:rsid w:val="00784BD6"/>
    <w:rsid w:val="007A5A3F"/>
    <w:rsid w:val="008C621B"/>
    <w:rsid w:val="008C6B45"/>
    <w:rsid w:val="008D5AF2"/>
    <w:rsid w:val="009A6FBA"/>
    <w:rsid w:val="009F793D"/>
    <w:rsid w:val="00AB6E49"/>
    <w:rsid w:val="00AF55D9"/>
    <w:rsid w:val="00B027BA"/>
    <w:rsid w:val="00BE462A"/>
    <w:rsid w:val="00CA773B"/>
    <w:rsid w:val="00CC1A31"/>
    <w:rsid w:val="00CF7100"/>
    <w:rsid w:val="00DC517C"/>
    <w:rsid w:val="00E41274"/>
    <w:rsid w:val="00E81F3B"/>
    <w:rsid w:val="00EE0D6C"/>
    <w:rsid w:val="00F322DE"/>
    <w:rsid w:val="00FB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E896F-E01F-4D63-9453-3E40921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8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B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764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6">
    <w:name w:val="Light List Accent 6"/>
    <w:basedOn w:val="Tablanormal"/>
    <w:uiPriority w:val="61"/>
    <w:rsid w:val="00764B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Sinespaciado">
    <w:name w:val="No Spacing"/>
    <w:uiPriority w:val="1"/>
    <w:qFormat/>
    <w:rsid w:val="003C5DE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Gisela García de Ramírez</dc:creator>
  <cp:keywords/>
  <dc:description/>
  <cp:lastModifiedBy>Reina Gisela García de Ramírez</cp:lastModifiedBy>
  <cp:revision>2</cp:revision>
  <cp:lastPrinted>2017-09-21T20:50:00Z</cp:lastPrinted>
  <dcterms:created xsi:type="dcterms:W3CDTF">2017-09-25T14:13:00Z</dcterms:created>
  <dcterms:modified xsi:type="dcterms:W3CDTF">2017-09-25T14:13:00Z</dcterms:modified>
</cp:coreProperties>
</file>